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B8D33C1"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DD5517">
        <w:rPr>
          <w:b/>
          <w:noProof/>
          <w:sz w:val="24"/>
          <w:lang w:val="en-US"/>
        </w:rPr>
        <w:t>2</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D90AA4">
        <w:rPr>
          <w:b/>
          <w:noProof/>
          <w:sz w:val="24"/>
          <w:lang w:val="en-US"/>
        </w:rPr>
        <w:t>5155</w:t>
      </w:r>
    </w:p>
    <w:p w14:paraId="351CA33D" w14:textId="7915354A" w:rsidR="00347001" w:rsidRPr="002D2634" w:rsidRDefault="00DD5517" w:rsidP="00D870B2">
      <w:pPr>
        <w:tabs>
          <w:tab w:val="left" w:pos="1985"/>
        </w:tabs>
        <w:rPr>
          <w:bCs/>
          <w:i/>
          <w:iCs/>
          <w:color w:val="2F5496"/>
          <w:sz w:val="24"/>
          <w:lang w:val="pt-PT"/>
        </w:rPr>
      </w:pPr>
      <w:r>
        <w:rPr>
          <w:rFonts w:ascii="Arial" w:eastAsia="MS Mincho" w:hAnsi="Arial"/>
          <w:b/>
          <w:noProof/>
          <w:sz w:val="24"/>
        </w:rPr>
        <w:t>Incheon, Korea</w:t>
      </w:r>
      <w:r w:rsidR="002364A5">
        <w:rPr>
          <w:rFonts w:ascii="Arial" w:eastAsia="MS Mincho" w:hAnsi="Arial"/>
          <w:b/>
          <w:noProof/>
          <w:sz w:val="24"/>
        </w:rPr>
        <w:t xml:space="preserve">, </w:t>
      </w:r>
      <w:r>
        <w:rPr>
          <w:rFonts w:ascii="Arial" w:eastAsia="MS Mincho" w:hAnsi="Arial"/>
          <w:b/>
          <w:noProof/>
          <w:sz w:val="24"/>
        </w:rPr>
        <w:t>May</w:t>
      </w:r>
      <w:r w:rsidR="003F7693">
        <w:rPr>
          <w:rFonts w:ascii="Arial" w:eastAsia="MS Mincho" w:hAnsi="Arial"/>
          <w:b/>
          <w:noProof/>
          <w:sz w:val="24"/>
        </w:rPr>
        <w:t xml:space="preserve"> </w:t>
      </w:r>
      <w:r>
        <w:rPr>
          <w:rFonts w:ascii="Arial" w:eastAsia="MS Mincho" w:hAnsi="Arial"/>
          <w:b/>
          <w:noProof/>
          <w:sz w:val="24"/>
        </w:rPr>
        <w:t>21</w:t>
      </w:r>
      <w:r w:rsidR="003F7693">
        <w:rPr>
          <w:rFonts w:ascii="Arial" w:eastAsia="MS Mincho" w:hAnsi="Arial"/>
          <w:b/>
          <w:noProof/>
          <w:sz w:val="24"/>
        </w:rPr>
        <w:t xml:space="preserve">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FE03EA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14EF54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C7C30" w:rsidRPr="000C7C30">
        <w:rPr>
          <w:rFonts w:ascii="Arial" w:hAnsi="Arial"/>
          <w:sz w:val="24"/>
        </w:rPr>
        <w:t>Enhancements for mobile IAB connected mode mobility</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32F4EEA9" w:rsidR="00B65E42" w:rsidRDefault="00BF49E1" w:rsidP="0051442A">
      <w:pPr>
        <w:spacing w:before="120" w:after="120"/>
      </w:pPr>
      <w:r>
        <w:t xml:space="preserve">In the last meeting, </w:t>
      </w:r>
      <w:r w:rsidR="00D7053B">
        <w:t xml:space="preserve">RAN2 discussed </w:t>
      </w:r>
      <w:proofErr w:type="spellStart"/>
      <w:r w:rsidR="00E035F9">
        <w:t>RACHless</w:t>
      </w:r>
      <w:proofErr w:type="spellEnd"/>
      <w:r w:rsidR="00E035F9">
        <w:t xml:space="preserve"> </w:t>
      </w:r>
      <w:r w:rsidR="000C7C30">
        <w:t xml:space="preserve">and conditional </w:t>
      </w:r>
      <w:r w:rsidR="00E035F9">
        <w:t>handover for UEs</w:t>
      </w:r>
      <w:r w:rsidR="0051442A">
        <w:t xml:space="preserve"> during DU migration. The following agreements were achieved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427259ED" w14:textId="77777777" w:rsidR="00E035F9" w:rsidRPr="00E035F9" w:rsidRDefault="00E035F9" w:rsidP="001E0721">
            <w:pPr>
              <w:pStyle w:val="Agreement"/>
              <w:tabs>
                <w:tab w:val="clear" w:pos="-9640"/>
                <w:tab w:val="num" w:pos="1619"/>
              </w:tabs>
              <w:adjustRightInd w:val="0"/>
              <w:spacing w:before="120" w:after="120"/>
              <w:ind w:left="360"/>
              <w:rPr>
                <w:sz w:val="16"/>
                <w:szCs w:val="20"/>
              </w:rPr>
            </w:pPr>
            <w:r w:rsidRPr="00E035F9">
              <w:rPr>
                <w:sz w:val="16"/>
                <w:szCs w:val="20"/>
              </w:rPr>
              <w:t xml:space="preserve">RACH-less for </w:t>
            </w:r>
            <w:proofErr w:type="spellStart"/>
            <w:r w:rsidRPr="00E035F9">
              <w:rPr>
                <w:sz w:val="16"/>
                <w:szCs w:val="20"/>
              </w:rPr>
              <w:t>mIAB</w:t>
            </w:r>
            <w:proofErr w:type="spellEnd"/>
            <w:r w:rsidRPr="00E035F9">
              <w:rPr>
                <w:sz w:val="16"/>
                <w:szCs w:val="20"/>
              </w:rPr>
              <w:t xml:space="preserve"> scenario, if agreed in the end, will cover only the case of same-TA. </w:t>
            </w:r>
          </w:p>
          <w:p w14:paraId="59B8B0EA" w14:textId="77777777" w:rsidR="00E035F9" w:rsidRPr="00E035F9" w:rsidRDefault="00E035F9" w:rsidP="001E0721">
            <w:pPr>
              <w:pStyle w:val="Agreement"/>
              <w:tabs>
                <w:tab w:val="clear" w:pos="-9640"/>
                <w:tab w:val="num" w:pos="1619"/>
              </w:tabs>
              <w:adjustRightInd w:val="0"/>
              <w:spacing w:before="120" w:after="120"/>
              <w:ind w:left="360"/>
              <w:rPr>
                <w:sz w:val="16"/>
                <w:szCs w:val="20"/>
              </w:rPr>
            </w:pPr>
            <w:r w:rsidRPr="00E035F9">
              <w:rPr>
                <w:sz w:val="16"/>
                <w:szCs w:val="20"/>
              </w:rPr>
              <w:t xml:space="preserve">Feasibility of beam handling during RACH-less HO in the </w:t>
            </w:r>
            <w:proofErr w:type="spellStart"/>
            <w:r w:rsidRPr="00E035F9">
              <w:rPr>
                <w:sz w:val="16"/>
                <w:szCs w:val="20"/>
              </w:rPr>
              <w:t>mIAB</w:t>
            </w:r>
            <w:proofErr w:type="spellEnd"/>
            <w:r w:rsidRPr="00E035F9">
              <w:rPr>
                <w:sz w:val="16"/>
                <w:szCs w:val="20"/>
              </w:rPr>
              <w:t xml:space="preserve"> WI is FFS (and this need to be addressed for RACH-less to be supported for </w:t>
            </w:r>
            <w:proofErr w:type="spellStart"/>
            <w:r w:rsidRPr="00E035F9">
              <w:rPr>
                <w:sz w:val="16"/>
                <w:szCs w:val="20"/>
              </w:rPr>
              <w:t>mIAB</w:t>
            </w:r>
            <w:proofErr w:type="spellEnd"/>
            <w:r w:rsidRPr="00E035F9">
              <w:rPr>
                <w:sz w:val="16"/>
                <w:szCs w:val="20"/>
              </w:rPr>
              <w:t xml:space="preserve">). </w:t>
            </w:r>
          </w:p>
          <w:p w14:paraId="1D67EDE2" w14:textId="77777777" w:rsidR="00E035F9" w:rsidRPr="00E035F9" w:rsidRDefault="00E035F9" w:rsidP="001E0721">
            <w:pPr>
              <w:pStyle w:val="Agreement"/>
              <w:tabs>
                <w:tab w:val="clear" w:pos="-9640"/>
                <w:tab w:val="num" w:pos="1619"/>
              </w:tabs>
              <w:adjustRightInd w:val="0"/>
              <w:spacing w:before="120" w:after="120"/>
              <w:ind w:left="360"/>
              <w:rPr>
                <w:sz w:val="16"/>
                <w:szCs w:val="20"/>
              </w:rPr>
            </w:pPr>
            <w:r w:rsidRPr="00E035F9">
              <w:rPr>
                <w:sz w:val="16"/>
                <w:szCs w:val="20"/>
              </w:rPr>
              <w:t>RAN2 discuss further the following options to support beam operation for the first UL transmission/DL reception towards the target logical DU in RACH-less HO during DU migration:</w:t>
            </w:r>
          </w:p>
          <w:p w14:paraId="371DA7A8" w14:textId="77777777" w:rsidR="00E035F9" w:rsidRPr="00E035F9" w:rsidRDefault="00E035F9" w:rsidP="001E0721">
            <w:pPr>
              <w:pStyle w:val="Agreement"/>
              <w:numPr>
                <w:ilvl w:val="0"/>
                <w:numId w:val="0"/>
              </w:numPr>
              <w:adjustRightInd w:val="0"/>
              <w:spacing w:before="120" w:after="120"/>
              <w:ind w:left="360"/>
              <w:rPr>
                <w:sz w:val="16"/>
                <w:szCs w:val="20"/>
              </w:rPr>
            </w:pPr>
            <w:r w:rsidRPr="00E035F9">
              <w:rPr>
                <w:sz w:val="16"/>
                <w:szCs w:val="20"/>
              </w:rPr>
              <w:t xml:space="preserve">Option 1: (Explicit approach) Explicit beam information is included in HO command. FFS the details. </w:t>
            </w:r>
          </w:p>
          <w:p w14:paraId="07B5A67C" w14:textId="77777777" w:rsidR="00E035F9" w:rsidRPr="00E035F9" w:rsidRDefault="00E035F9" w:rsidP="001E0721">
            <w:pPr>
              <w:pStyle w:val="Agreement"/>
              <w:numPr>
                <w:ilvl w:val="0"/>
                <w:numId w:val="0"/>
              </w:numPr>
              <w:adjustRightInd w:val="0"/>
              <w:spacing w:before="120" w:after="120"/>
              <w:ind w:left="360"/>
              <w:rPr>
                <w:sz w:val="16"/>
                <w:szCs w:val="20"/>
              </w:rPr>
            </w:pPr>
            <w:r w:rsidRPr="00E035F9">
              <w:rPr>
                <w:sz w:val="16"/>
                <w:szCs w:val="20"/>
              </w:rPr>
              <w:t>Option 2: (Implicit approach) UE re-uses the same beam status as in the source cell (the beam information is not carried explicitly in HO command).</w:t>
            </w:r>
          </w:p>
          <w:p w14:paraId="7DEB2E2A" w14:textId="77777777" w:rsidR="00B65E42" w:rsidRDefault="00E035F9" w:rsidP="001E0721">
            <w:pPr>
              <w:pStyle w:val="Agreement"/>
              <w:tabs>
                <w:tab w:val="num" w:pos="1619"/>
              </w:tabs>
              <w:adjustRightInd w:val="0"/>
              <w:spacing w:before="120" w:after="120"/>
              <w:ind w:left="360"/>
              <w:rPr>
                <w:sz w:val="16"/>
                <w:szCs w:val="20"/>
              </w:rPr>
            </w:pPr>
            <w:r w:rsidRPr="00E035F9">
              <w:rPr>
                <w:sz w:val="16"/>
                <w:szCs w:val="20"/>
              </w:rPr>
              <w:t xml:space="preserve">RACH-less HO with same TA with security key change is in scope for served UEs during </w:t>
            </w:r>
            <w:proofErr w:type="spellStart"/>
            <w:r w:rsidRPr="00E035F9">
              <w:rPr>
                <w:sz w:val="16"/>
                <w:szCs w:val="20"/>
              </w:rPr>
              <w:t>mIAB</w:t>
            </w:r>
            <w:proofErr w:type="spellEnd"/>
            <w:r w:rsidRPr="00E035F9">
              <w:rPr>
                <w:sz w:val="16"/>
                <w:szCs w:val="20"/>
              </w:rPr>
              <w:t xml:space="preserve"> DU migration. FFS UL grant and HO completion procedure in </w:t>
            </w:r>
            <w:proofErr w:type="spellStart"/>
            <w:r w:rsidRPr="00E035F9">
              <w:rPr>
                <w:sz w:val="16"/>
                <w:szCs w:val="20"/>
              </w:rPr>
              <w:t>mIAB</w:t>
            </w:r>
            <w:proofErr w:type="spellEnd"/>
            <w:r w:rsidRPr="00E035F9">
              <w:rPr>
                <w:sz w:val="16"/>
                <w:szCs w:val="20"/>
              </w:rPr>
              <w:t xml:space="preserve"> RACH-less HO.</w:t>
            </w:r>
          </w:p>
          <w:p w14:paraId="28DFC4C2" w14:textId="77777777" w:rsidR="000C7C30" w:rsidRPr="000C7C30" w:rsidRDefault="000C7C30" w:rsidP="000C7C30">
            <w:pPr>
              <w:pStyle w:val="Agreement"/>
              <w:tabs>
                <w:tab w:val="num" w:pos="1619"/>
              </w:tabs>
              <w:adjustRightInd w:val="0"/>
              <w:spacing w:before="120" w:after="120"/>
              <w:ind w:left="360"/>
              <w:rPr>
                <w:sz w:val="16"/>
                <w:szCs w:val="20"/>
              </w:rPr>
            </w:pPr>
            <w:r w:rsidRPr="000C7C30">
              <w:rPr>
                <w:sz w:val="16"/>
                <w:szCs w:val="20"/>
              </w:rPr>
              <w:t xml:space="preserve">FFS: May support CHO with CondT1 if it is “for free”, </w:t>
            </w:r>
            <w:proofErr w:type="gramStart"/>
            <w:r w:rsidRPr="000C7C30">
              <w:rPr>
                <w:sz w:val="16"/>
                <w:szCs w:val="20"/>
              </w:rPr>
              <w:t>i.e.</w:t>
            </w:r>
            <w:proofErr w:type="gramEnd"/>
            <w:r w:rsidRPr="000C7C30">
              <w:rPr>
                <w:sz w:val="16"/>
                <w:szCs w:val="20"/>
              </w:rPr>
              <w:t xml:space="preserve"> if TS impact is just to slightly modify the description to make it also applicable to TN. </w:t>
            </w:r>
          </w:p>
          <w:p w14:paraId="080149EE" w14:textId="6721273D" w:rsidR="000C7C30" w:rsidRPr="000C7C30" w:rsidRDefault="000C7C30" w:rsidP="000C7C30">
            <w:pPr>
              <w:pStyle w:val="Doc-text2"/>
            </w:pPr>
          </w:p>
        </w:tc>
      </w:tr>
    </w:tbl>
    <w:p w14:paraId="49F1C855" w14:textId="64909F5A" w:rsidR="006A6AE6" w:rsidRDefault="006A6AE6" w:rsidP="006A6AE6">
      <w:pPr>
        <w:spacing w:before="120" w:after="120"/>
        <w:rPr>
          <w:lang w:val="en-US"/>
        </w:rPr>
      </w:pPr>
      <w:r>
        <w:rPr>
          <w:lang w:val="en-US"/>
        </w:rPr>
        <w:t>T</w:t>
      </w:r>
      <w:r w:rsidRPr="0051442A">
        <w:rPr>
          <w:lang w:val="en-US"/>
        </w:rPr>
        <w:t xml:space="preserve">his paper discusses </w:t>
      </w:r>
      <w:r w:rsidR="00E035F9">
        <w:rPr>
          <w:lang w:val="en-US"/>
        </w:rPr>
        <w:t xml:space="preserve">remaining issues </w:t>
      </w:r>
      <w:r w:rsidR="000C7C30">
        <w:rPr>
          <w:lang w:val="en-US"/>
        </w:rPr>
        <w:t>for connected-mode mobility during DU migration</w:t>
      </w:r>
      <w:r>
        <w:rPr>
          <w:lang w:val="en-US"/>
        </w:rPr>
        <w:t>.</w:t>
      </w:r>
    </w:p>
    <w:p w14:paraId="68AF9242" w14:textId="211BF4F2" w:rsidR="00CD4C7B" w:rsidRPr="00320A6B" w:rsidRDefault="00CD4C7B" w:rsidP="00CD4C7B">
      <w:pPr>
        <w:pStyle w:val="Heading1"/>
      </w:pPr>
      <w:r w:rsidRPr="00320A6B">
        <w:t>2</w:t>
      </w:r>
      <w:r w:rsidRPr="00320A6B">
        <w:tab/>
      </w:r>
      <w:r w:rsidR="00A66990">
        <w:t>Discussion</w:t>
      </w:r>
    </w:p>
    <w:p w14:paraId="0328B4BC" w14:textId="68929011" w:rsidR="000C7C30" w:rsidRPr="00320A6B" w:rsidRDefault="000C7C30" w:rsidP="000C7C30">
      <w:pPr>
        <w:pStyle w:val="Heading2"/>
      </w:pPr>
      <w:r w:rsidRPr="00320A6B">
        <w:t>2</w:t>
      </w:r>
      <w:r>
        <w:t>.1</w:t>
      </w:r>
      <w:r w:rsidRPr="00320A6B">
        <w:tab/>
      </w:r>
      <w:r>
        <w:t>RACH-less handover</w:t>
      </w:r>
    </w:p>
    <w:p w14:paraId="1E9184D9" w14:textId="4704878B" w:rsidR="00446B6D" w:rsidRDefault="00446B6D" w:rsidP="00E77925">
      <w:pPr>
        <w:spacing w:before="120" w:after="120"/>
        <w:rPr>
          <w:b/>
          <w:bCs/>
        </w:rPr>
      </w:pPr>
      <w:r w:rsidRPr="00446B6D">
        <w:rPr>
          <w:b/>
          <w:bCs/>
          <w:highlight w:val="yellow"/>
        </w:rPr>
        <w:t>Issue 1:</w:t>
      </w:r>
      <w:r>
        <w:rPr>
          <w:b/>
          <w:bCs/>
        </w:rPr>
        <w:t xml:space="preserve"> </w:t>
      </w:r>
      <w:r w:rsidR="005D4D93">
        <w:rPr>
          <w:b/>
          <w:bCs/>
        </w:rPr>
        <w:t>Explicit vs. implicit b</w:t>
      </w:r>
      <w:r>
        <w:rPr>
          <w:b/>
          <w:bCs/>
        </w:rPr>
        <w:t xml:space="preserve">eam information </w:t>
      </w:r>
      <w:r w:rsidR="00154D78">
        <w:rPr>
          <w:b/>
          <w:bCs/>
        </w:rPr>
        <w:t>of</w:t>
      </w:r>
      <w:r>
        <w:rPr>
          <w:b/>
          <w:bCs/>
        </w:rPr>
        <w:t xml:space="preserve"> target cell</w:t>
      </w:r>
    </w:p>
    <w:p w14:paraId="1C000654" w14:textId="64560D98" w:rsidR="005D4D93" w:rsidRDefault="005D4D93" w:rsidP="00E77925">
      <w:pPr>
        <w:spacing w:before="120" w:after="120"/>
      </w:pPr>
      <w:r>
        <w:t xml:space="preserve">RACH-less handover for mobile IAB can only be supported for Rel-18 UEs, and it will most likely be optional. For that reason, there </w:t>
      </w:r>
      <w:proofErr w:type="gramStart"/>
      <w:r>
        <w:t>has to</w:t>
      </w:r>
      <w:proofErr w:type="gramEnd"/>
      <w:r>
        <w:t xml:space="preserve"> be an indication in the handover command that the handover can be conducted RACH-less.</w:t>
      </w:r>
    </w:p>
    <w:p w14:paraId="67F4E143" w14:textId="1256C851" w:rsidR="00EE728D" w:rsidRDefault="005D4D93" w:rsidP="00E77925">
      <w:pPr>
        <w:spacing w:before="120" w:after="120"/>
        <w:rPr>
          <w:b/>
          <w:bCs/>
        </w:rPr>
      </w:pPr>
      <w:r w:rsidRPr="005D4D93">
        <w:rPr>
          <w:b/>
          <w:bCs/>
        </w:rPr>
        <w:t>Observation 1</w:t>
      </w:r>
      <w:r w:rsidR="000C509E">
        <w:rPr>
          <w:b/>
          <w:bCs/>
        </w:rPr>
        <w:t>a</w:t>
      </w:r>
      <w:r w:rsidRPr="005D4D93">
        <w:rPr>
          <w:b/>
          <w:bCs/>
        </w:rPr>
        <w:t>: The handover command needs to include an indication that the handover can be conducted RACH-less.</w:t>
      </w:r>
    </w:p>
    <w:p w14:paraId="6EC6A0BC" w14:textId="264F8319" w:rsidR="005D4D93" w:rsidRPr="005D4D93" w:rsidRDefault="005D4D93" w:rsidP="00E77925">
      <w:pPr>
        <w:spacing w:before="120" w:after="120"/>
        <w:rPr>
          <w:b/>
          <w:bCs/>
        </w:rPr>
      </w:pPr>
      <w:r>
        <w:rPr>
          <w:b/>
          <w:bCs/>
        </w:rPr>
        <w:t>Proposal 1</w:t>
      </w:r>
      <w:r w:rsidR="000C509E">
        <w:rPr>
          <w:b/>
          <w:bCs/>
        </w:rPr>
        <w:t>a</w:t>
      </w:r>
      <w:r>
        <w:rPr>
          <w:b/>
          <w:bCs/>
        </w:rPr>
        <w:t xml:space="preserve">: The handover command to include on indication that the handover can be conducted RACH-less. </w:t>
      </w:r>
    </w:p>
    <w:p w14:paraId="54DE00AC" w14:textId="77777777" w:rsidR="005D4D93" w:rsidRDefault="005D4D93" w:rsidP="00E77925">
      <w:pPr>
        <w:spacing w:before="120" w:after="120"/>
      </w:pPr>
      <w:r>
        <w:t xml:space="preserve">The handover command further includes the </w:t>
      </w:r>
      <w:proofErr w:type="spellStart"/>
      <w:r>
        <w:t>CellGroupConfig</w:t>
      </w:r>
      <w:proofErr w:type="spellEnd"/>
      <w:r>
        <w:t xml:space="preserve"> with the beam-to-resource mapping. This implies that this beam-to-resource mapping may be different for the target cell than for the source cell. Consequently, the handover command needs to include an indication on the beam to be used for the first transmission to be conducted at the target cell.</w:t>
      </w:r>
    </w:p>
    <w:p w14:paraId="4D82D6C7" w14:textId="55F5B977" w:rsidR="005D4D93" w:rsidRDefault="005D4D93" w:rsidP="005D4D93">
      <w:pPr>
        <w:spacing w:before="120" w:after="120"/>
        <w:rPr>
          <w:b/>
          <w:bCs/>
        </w:rPr>
      </w:pPr>
      <w:r w:rsidRPr="005D4D93">
        <w:rPr>
          <w:b/>
          <w:bCs/>
        </w:rPr>
        <w:t xml:space="preserve">Observation </w:t>
      </w:r>
      <w:r w:rsidR="000C509E">
        <w:rPr>
          <w:b/>
          <w:bCs/>
        </w:rPr>
        <w:t>1b</w:t>
      </w:r>
      <w:r w:rsidRPr="005D4D93">
        <w:rPr>
          <w:b/>
          <w:bCs/>
        </w:rPr>
        <w:t xml:space="preserve">: </w:t>
      </w:r>
      <w:r>
        <w:rPr>
          <w:b/>
          <w:bCs/>
        </w:rPr>
        <w:t>Since the handover command includes a new beam-to-resource mapping, an explicit beam indication is needed for the first transmission between UE and target cell.</w:t>
      </w:r>
    </w:p>
    <w:p w14:paraId="2F766D21" w14:textId="6F3F2574" w:rsidR="005D4D93" w:rsidRPr="005D4D93" w:rsidRDefault="005D4D93" w:rsidP="005D4D93">
      <w:pPr>
        <w:spacing w:before="120" w:after="120"/>
        <w:rPr>
          <w:b/>
          <w:bCs/>
        </w:rPr>
      </w:pPr>
      <w:r>
        <w:rPr>
          <w:b/>
          <w:bCs/>
        </w:rPr>
        <w:t xml:space="preserve">Proposal </w:t>
      </w:r>
      <w:r w:rsidR="000C509E">
        <w:rPr>
          <w:b/>
          <w:bCs/>
        </w:rPr>
        <w:t>1b</w:t>
      </w:r>
      <w:r>
        <w:rPr>
          <w:b/>
          <w:bCs/>
        </w:rPr>
        <w:t xml:space="preserve">: The handover command to include an indication on the beam to be used for the first transmission on the target cell. </w:t>
      </w:r>
    </w:p>
    <w:p w14:paraId="480417FC" w14:textId="6413562E" w:rsidR="0000588C" w:rsidRDefault="005D4D93" w:rsidP="00E77925">
      <w:pPr>
        <w:spacing w:before="120" w:after="120"/>
      </w:pPr>
      <w:r>
        <w:t xml:space="preserve">  </w:t>
      </w:r>
    </w:p>
    <w:p w14:paraId="45DBF6B2" w14:textId="0DDB609B" w:rsidR="0000588C" w:rsidRDefault="0000588C" w:rsidP="00E77925">
      <w:pPr>
        <w:spacing w:before="120" w:after="120"/>
      </w:pPr>
    </w:p>
    <w:p w14:paraId="44C57991" w14:textId="77777777" w:rsidR="00766E43" w:rsidRPr="00446B6D" w:rsidRDefault="00766E43" w:rsidP="00766E43">
      <w:pPr>
        <w:spacing w:before="120" w:after="120"/>
      </w:pPr>
    </w:p>
    <w:p w14:paraId="0A3D0514" w14:textId="166DE08D" w:rsidR="00B82009" w:rsidRDefault="00B82009" w:rsidP="00B82009">
      <w:pPr>
        <w:spacing w:before="120" w:after="120"/>
        <w:rPr>
          <w:b/>
          <w:bCs/>
        </w:rPr>
      </w:pPr>
      <w:r w:rsidRPr="00446B6D">
        <w:rPr>
          <w:b/>
          <w:bCs/>
          <w:highlight w:val="yellow"/>
        </w:rPr>
        <w:t xml:space="preserve">Issue </w:t>
      </w:r>
      <w:r>
        <w:rPr>
          <w:b/>
          <w:bCs/>
          <w:highlight w:val="yellow"/>
        </w:rPr>
        <w:t>2</w:t>
      </w:r>
      <w:r w:rsidRPr="00446B6D">
        <w:rPr>
          <w:b/>
          <w:bCs/>
          <w:highlight w:val="yellow"/>
        </w:rPr>
        <w:t>:</w:t>
      </w:r>
      <w:r>
        <w:rPr>
          <w:b/>
          <w:bCs/>
        </w:rPr>
        <w:t xml:space="preserve"> </w:t>
      </w:r>
      <w:r w:rsidR="003445D6">
        <w:rPr>
          <w:b/>
          <w:bCs/>
        </w:rPr>
        <w:t>Delivery of u</w:t>
      </w:r>
      <w:r>
        <w:rPr>
          <w:b/>
          <w:bCs/>
        </w:rPr>
        <w:t>plink grant</w:t>
      </w:r>
    </w:p>
    <w:p w14:paraId="69F05070" w14:textId="085F016F" w:rsidR="005D4D93" w:rsidRPr="003445D6" w:rsidRDefault="005D4D93" w:rsidP="00B82009">
      <w:pPr>
        <w:spacing w:before="120" w:after="120"/>
      </w:pPr>
      <w:r w:rsidRPr="003445D6">
        <w:t xml:space="preserve">The uplink grant can be included in the handover command. In this case, the first transmission on the target cell will occur in UL direction. This is referred to as “configured grant”. </w:t>
      </w:r>
      <w:r w:rsidR="003445D6">
        <w:t xml:space="preserve">Such configured grant can be supported as an optional feature. </w:t>
      </w:r>
      <w:r w:rsidRPr="003445D6">
        <w:t xml:space="preserve">Alternatively, </w:t>
      </w:r>
      <w:r w:rsidR="003445D6">
        <w:t>the UL grant is provided to the UE by the</w:t>
      </w:r>
      <w:r w:rsidRPr="003445D6">
        <w:t xml:space="preserve"> </w:t>
      </w:r>
      <w:r w:rsidR="003445D6">
        <w:t>target cell. In this case, the first transmission on the target cell is a DL transmission. Such scheduled UL grant can allows be supported. It can also be used in case the configured grant fails for some reason.</w:t>
      </w:r>
    </w:p>
    <w:p w14:paraId="74822387" w14:textId="1C208F37" w:rsidR="003445D6" w:rsidRDefault="003445D6" w:rsidP="003445D6">
      <w:pPr>
        <w:spacing w:before="120" w:after="120"/>
        <w:rPr>
          <w:b/>
          <w:bCs/>
        </w:rPr>
      </w:pPr>
      <w:r>
        <w:rPr>
          <w:b/>
          <w:bCs/>
        </w:rPr>
        <w:t>Observation 2: The UE can always receive a scheduled UL grant in case it is not able to make use of a configured UL grant.</w:t>
      </w:r>
    </w:p>
    <w:p w14:paraId="3F99D7F2" w14:textId="1CFBD20C" w:rsidR="003445D6" w:rsidRDefault="003445D6" w:rsidP="003445D6">
      <w:pPr>
        <w:spacing w:before="120" w:after="120"/>
        <w:rPr>
          <w:b/>
          <w:bCs/>
        </w:rPr>
      </w:pPr>
      <w:r>
        <w:rPr>
          <w:b/>
          <w:bCs/>
        </w:rPr>
        <w:t>Proposal 2:</w:t>
      </w:r>
      <w:r w:rsidR="0057139D">
        <w:rPr>
          <w:b/>
          <w:bCs/>
        </w:rPr>
        <w:t xml:space="preserve"> For RACH-less handover, c</w:t>
      </w:r>
      <w:r>
        <w:rPr>
          <w:b/>
          <w:bCs/>
        </w:rPr>
        <w:t>onfigured UL grant is optionally supported. Scheduled UL grant is supported.</w:t>
      </w:r>
    </w:p>
    <w:p w14:paraId="53040EC3" w14:textId="2728CE40" w:rsidR="0005392E" w:rsidRDefault="0005392E" w:rsidP="00EC68E7">
      <w:pPr>
        <w:spacing w:before="120" w:after="120"/>
      </w:pPr>
    </w:p>
    <w:p w14:paraId="637D4789" w14:textId="66B71050" w:rsidR="00530FE9" w:rsidRPr="00530FE9" w:rsidRDefault="00530FE9" w:rsidP="00EC68E7">
      <w:pPr>
        <w:spacing w:before="120" w:after="120"/>
        <w:rPr>
          <w:b/>
          <w:bCs/>
        </w:rPr>
      </w:pPr>
      <w:r w:rsidRPr="00530FE9">
        <w:rPr>
          <w:b/>
          <w:bCs/>
          <w:highlight w:val="yellow"/>
        </w:rPr>
        <w:t>Issue 3:</w:t>
      </w:r>
      <w:r w:rsidRPr="00530FE9">
        <w:rPr>
          <w:b/>
          <w:bCs/>
        </w:rPr>
        <w:t xml:space="preserve"> </w:t>
      </w:r>
      <w:r w:rsidR="00276F43">
        <w:rPr>
          <w:b/>
          <w:bCs/>
        </w:rPr>
        <w:t xml:space="preserve">Reliable transmission of </w:t>
      </w:r>
      <w:r w:rsidRPr="00530FE9">
        <w:rPr>
          <w:b/>
          <w:bCs/>
        </w:rPr>
        <w:t>RRC completion</w:t>
      </w:r>
      <w:r w:rsidR="000C509E">
        <w:rPr>
          <w:b/>
          <w:bCs/>
        </w:rPr>
        <w:t xml:space="preserve"> and other issues</w:t>
      </w:r>
    </w:p>
    <w:p w14:paraId="3FCEE51D" w14:textId="35211B09" w:rsidR="00276F43" w:rsidRDefault="00276F43" w:rsidP="00EC68E7">
      <w:pPr>
        <w:spacing w:before="120" w:after="120"/>
      </w:pPr>
      <w:r>
        <w:t>Since the UE does not perform the RACH procedure, it is not certain if the RRC Complete message transmitted to the target cell has arrived. For RACH-less handover in the LTM WI, the following solutions have been discussed:</w:t>
      </w:r>
    </w:p>
    <w:p w14:paraId="5A241999" w14:textId="1B5C9370" w:rsidR="00323C14" w:rsidRDefault="00323C14" w:rsidP="00276F43">
      <w:pPr>
        <w:pStyle w:val="ListParagraph"/>
        <w:numPr>
          <w:ilvl w:val="0"/>
          <w:numId w:val="8"/>
        </w:numPr>
        <w:spacing w:before="120" w:after="120"/>
      </w:pPr>
      <w:r>
        <w:t xml:space="preserve">UE </w:t>
      </w:r>
      <w:r w:rsidR="00276F43">
        <w:t xml:space="preserve">derives RRC completion deliver based on </w:t>
      </w:r>
      <w:r>
        <w:t xml:space="preserve">PDCCH </w:t>
      </w:r>
      <w:r w:rsidR="00276F43">
        <w:t xml:space="preserve">information received by </w:t>
      </w:r>
      <w:r>
        <w:t>in the target cell.</w:t>
      </w:r>
    </w:p>
    <w:p w14:paraId="76F459DB" w14:textId="1EBF0B18" w:rsidR="00323C14" w:rsidRDefault="00276F43" w:rsidP="00276F43">
      <w:pPr>
        <w:pStyle w:val="ListParagraph"/>
        <w:numPr>
          <w:ilvl w:val="0"/>
          <w:numId w:val="8"/>
        </w:numPr>
        <w:spacing w:before="120" w:after="120"/>
      </w:pPr>
      <w:r>
        <w:t xml:space="preserve">The target cell sends a </w:t>
      </w:r>
      <w:r w:rsidR="00323C14">
        <w:t xml:space="preserve">MAC CE </w:t>
      </w:r>
      <w:r>
        <w:t>to explicitly confirm the delivery of the RRC Complete message</w:t>
      </w:r>
      <w:r w:rsidR="00323C14">
        <w:t>.</w:t>
      </w:r>
    </w:p>
    <w:p w14:paraId="52D6D14C" w14:textId="1F9E5593" w:rsidR="00323C14" w:rsidRDefault="00276F43" w:rsidP="00276F43">
      <w:pPr>
        <w:pStyle w:val="ListParagraph"/>
        <w:numPr>
          <w:ilvl w:val="0"/>
          <w:numId w:val="8"/>
        </w:numPr>
        <w:spacing w:before="120" w:after="120"/>
      </w:pPr>
      <w:r>
        <w:t xml:space="preserve">The UE derives confirmation of the RRC Complete message based on </w:t>
      </w:r>
      <w:r w:rsidR="00323C14">
        <w:t xml:space="preserve">RLC Control PDU. </w:t>
      </w:r>
    </w:p>
    <w:p w14:paraId="623111AA" w14:textId="2AE51B9A" w:rsidR="00276F43" w:rsidRPr="00276F43" w:rsidRDefault="00276F43" w:rsidP="00EC68E7">
      <w:pPr>
        <w:spacing w:before="120" w:after="120"/>
      </w:pPr>
      <w:r w:rsidRPr="00276F43">
        <w:t xml:space="preserve">Since this topic is already discussed in the LTM WI, the mobile IAB WI should adapt the solution defined for LTM. </w:t>
      </w:r>
      <w:r>
        <w:t>This also applies for all other issues related to RACH-less handover that are confined to each individual cell</w:t>
      </w:r>
      <w:r w:rsidR="007A17F0">
        <w:t xml:space="preserve"> and do not require inter-CU coordination. Since LTM is only supported within a CU, inter-CU coordination issues</w:t>
      </w:r>
      <w:r w:rsidR="0057139D">
        <w:t>, if any,</w:t>
      </w:r>
      <w:r w:rsidR="007A17F0">
        <w:t xml:space="preserve"> need to be addressed separately for mobile IAB.</w:t>
      </w:r>
    </w:p>
    <w:p w14:paraId="4653A08B" w14:textId="304C9F85" w:rsidR="00276F43" w:rsidRDefault="00276F43" w:rsidP="00EC68E7">
      <w:pPr>
        <w:spacing w:before="120" w:after="120"/>
        <w:rPr>
          <w:b/>
          <w:bCs/>
        </w:rPr>
      </w:pPr>
      <w:r>
        <w:rPr>
          <w:b/>
          <w:bCs/>
        </w:rPr>
        <w:t xml:space="preserve">Observation 3: </w:t>
      </w:r>
      <w:r w:rsidR="0057139D">
        <w:rPr>
          <w:b/>
          <w:bCs/>
        </w:rPr>
        <w:t>For all issues related to RACH-less HO that do not require inter-CU coordination, o</w:t>
      </w:r>
      <w:r w:rsidR="007A17F0">
        <w:rPr>
          <w:b/>
          <w:bCs/>
        </w:rPr>
        <w:t>ne common solution should be defined for LTM and mobile IAB.</w:t>
      </w:r>
      <w:r>
        <w:rPr>
          <w:b/>
          <w:bCs/>
        </w:rPr>
        <w:t xml:space="preserve"> </w:t>
      </w:r>
    </w:p>
    <w:p w14:paraId="685CD20A" w14:textId="1E6DDB60" w:rsidR="007A17F0" w:rsidRDefault="007A17F0" w:rsidP="007A17F0">
      <w:pPr>
        <w:spacing w:before="120" w:after="120"/>
        <w:rPr>
          <w:b/>
          <w:bCs/>
        </w:rPr>
      </w:pPr>
      <w:r>
        <w:rPr>
          <w:b/>
          <w:bCs/>
        </w:rPr>
        <w:t>Proposal 3: For all issues related to RACH-less HO that do not require inter-CU coordination, mobile IAB to adapt the solutions defined by LTM WI.</w:t>
      </w:r>
    </w:p>
    <w:p w14:paraId="36E33742" w14:textId="77777777" w:rsidR="00530FE9" w:rsidRDefault="00530FE9" w:rsidP="00EC68E7">
      <w:pPr>
        <w:spacing w:before="120" w:after="120"/>
      </w:pPr>
    </w:p>
    <w:p w14:paraId="3C54A5F9" w14:textId="13571D51" w:rsidR="000C7C30" w:rsidRPr="00320A6B" w:rsidRDefault="000C7C30" w:rsidP="000C7C30">
      <w:pPr>
        <w:pStyle w:val="Heading2"/>
      </w:pPr>
      <w:r w:rsidRPr="00320A6B">
        <w:t>2</w:t>
      </w:r>
      <w:r>
        <w:t>.2</w:t>
      </w:r>
      <w:r w:rsidRPr="00320A6B">
        <w:tab/>
      </w:r>
      <w:r>
        <w:t>Conditional handover</w:t>
      </w:r>
    </w:p>
    <w:p w14:paraId="1709ADAE" w14:textId="1A3E15F4" w:rsidR="000C7C30" w:rsidRDefault="000C7C30" w:rsidP="000C7C30">
      <w:pPr>
        <w:spacing w:before="120" w:after="120"/>
        <w:rPr>
          <w:b/>
          <w:bCs/>
        </w:rPr>
      </w:pPr>
      <w:r w:rsidRPr="00446B6D">
        <w:rPr>
          <w:b/>
          <w:bCs/>
          <w:highlight w:val="yellow"/>
        </w:rPr>
        <w:t xml:space="preserve">Issue </w:t>
      </w:r>
      <w:r w:rsidR="000C509E">
        <w:rPr>
          <w:b/>
          <w:bCs/>
          <w:highlight w:val="yellow"/>
        </w:rPr>
        <w:t>4</w:t>
      </w:r>
      <w:r w:rsidRPr="00446B6D">
        <w:rPr>
          <w:b/>
          <w:bCs/>
          <w:highlight w:val="yellow"/>
        </w:rPr>
        <w:t>:</w:t>
      </w:r>
      <w:r>
        <w:rPr>
          <w:b/>
          <w:bCs/>
        </w:rPr>
        <w:t xml:space="preserve"> Use of CondEventT1 for UE CHO during DU migration</w:t>
      </w:r>
    </w:p>
    <w:p w14:paraId="0FBC25FB" w14:textId="373E467B" w:rsidR="000C7C30" w:rsidRDefault="000C7C30" w:rsidP="00965966">
      <w:pPr>
        <w:spacing w:before="120" w:after="120"/>
      </w:pPr>
      <w:r>
        <w:t xml:space="preserve">Since UE CHO during DU migration </w:t>
      </w:r>
      <w:r w:rsidR="004A65D2">
        <w:t>need</w:t>
      </w:r>
      <w:r>
        <w:t xml:space="preserve"> not </w:t>
      </w:r>
      <w:r w:rsidR="004A65D2">
        <w:t xml:space="preserve">be </w:t>
      </w:r>
      <w:r>
        <w:t xml:space="preserve">driven by changes in radio-link quality, </w:t>
      </w:r>
      <w:r w:rsidR="00101A48">
        <w:t xml:space="preserve">time-based triggering </w:t>
      </w:r>
      <w:r w:rsidR="0057139D">
        <w:t xml:space="preserve">could be applied </w:t>
      </w:r>
      <w:r w:rsidR="00101A48">
        <w:t>as</w:t>
      </w:r>
      <w:r>
        <w:t xml:space="preserve"> defined for NTN. RAN2 </w:t>
      </w:r>
      <w:r w:rsidR="004A65D2">
        <w:t>agreed that</w:t>
      </w:r>
      <w:r>
        <w:t xml:space="preserve"> </w:t>
      </w:r>
      <w:r w:rsidR="00101A48">
        <w:t xml:space="preserve">NTN’s </w:t>
      </w:r>
      <w:r>
        <w:t xml:space="preserve">time-based </w:t>
      </w:r>
      <w:r w:rsidR="00101A48">
        <w:t>triggering</w:t>
      </w:r>
      <w:r w:rsidR="004A65D2">
        <w:t xml:space="preserve"> </w:t>
      </w:r>
      <w:r>
        <w:t xml:space="preserve">may be adopted for mobile IAB </w:t>
      </w:r>
      <w:r w:rsidR="00101A48">
        <w:t>if</w:t>
      </w:r>
      <w:r>
        <w:t xml:space="preserve"> this does not imply major spec</w:t>
      </w:r>
      <w:r w:rsidR="004A65D2">
        <w:t>ification</w:t>
      </w:r>
      <w:r>
        <w:t xml:space="preserve"> changes. </w:t>
      </w:r>
    </w:p>
    <w:p w14:paraId="76468FE2" w14:textId="4A7E9C23" w:rsidR="00101A48" w:rsidRDefault="00101A48" w:rsidP="004A65D2">
      <w:pPr>
        <w:spacing w:before="120" w:after="120"/>
      </w:pPr>
      <w:r>
        <w:t>TS 38.300, clause 16.14, refers to time-based trigger conditions in the context of NTN only. T</w:t>
      </w:r>
      <w:r w:rsidR="0057139D">
        <w:t>S</w:t>
      </w:r>
      <w:r>
        <w:t xml:space="preserve"> 38.300, clause 9.2.3.</w:t>
      </w:r>
      <w:r w:rsidR="0057139D">
        <w:t>4</w:t>
      </w:r>
      <w:r>
        <w:t>, only refers to CHO events A3/A5.</w:t>
      </w:r>
      <w:r w:rsidR="0057139D">
        <w:t xml:space="preserve"> It would therefore be necessary to include time-based triggering as a generic solution for CHO</w:t>
      </w:r>
      <w:r w:rsidR="0057139D" w:rsidRPr="0057139D">
        <w:t xml:space="preserve"> </w:t>
      </w:r>
      <w:r w:rsidR="0057139D">
        <w:t>in clause 9.2.3.4.</w:t>
      </w:r>
    </w:p>
    <w:p w14:paraId="094CFE60" w14:textId="648CB31F" w:rsidR="0057139D" w:rsidRPr="0057139D" w:rsidRDefault="0057139D" w:rsidP="004A65D2">
      <w:pPr>
        <w:spacing w:before="120" w:after="120"/>
        <w:rPr>
          <w:b/>
          <w:bCs/>
        </w:rPr>
      </w:pPr>
      <w:r w:rsidRPr="0057139D">
        <w:rPr>
          <w:b/>
          <w:bCs/>
        </w:rPr>
        <w:t xml:space="preserve">Observation </w:t>
      </w:r>
      <w:r w:rsidR="00827C55">
        <w:rPr>
          <w:b/>
          <w:bCs/>
        </w:rPr>
        <w:t>4</w:t>
      </w:r>
      <w:r w:rsidR="000C509E">
        <w:rPr>
          <w:b/>
          <w:bCs/>
        </w:rPr>
        <w:t>a</w:t>
      </w:r>
      <w:r w:rsidRPr="0057139D">
        <w:rPr>
          <w:b/>
          <w:bCs/>
        </w:rPr>
        <w:t xml:space="preserve">: </w:t>
      </w:r>
      <w:r>
        <w:rPr>
          <w:b/>
          <w:bCs/>
        </w:rPr>
        <w:t xml:space="preserve">In case time-based triggering is adopted for CHO during DU migration, </w:t>
      </w:r>
      <w:r w:rsidRPr="0057139D">
        <w:rPr>
          <w:b/>
          <w:bCs/>
        </w:rPr>
        <w:t>time-based triggering</w:t>
      </w:r>
      <w:r>
        <w:rPr>
          <w:b/>
          <w:bCs/>
        </w:rPr>
        <w:t xml:space="preserve"> needs to be included</w:t>
      </w:r>
      <w:r w:rsidRPr="0057139D">
        <w:rPr>
          <w:b/>
          <w:bCs/>
        </w:rPr>
        <w:t xml:space="preserve"> for </w:t>
      </w:r>
      <w:r>
        <w:rPr>
          <w:b/>
          <w:bCs/>
        </w:rPr>
        <w:t xml:space="preserve">generic </w:t>
      </w:r>
      <w:r w:rsidRPr="0057139D">
        <w:rPr>
          <w:b/>
          <w:bCs/>
        </w:rPr>
        <w:t>CHO in TS 38.300, clause 9.2.3.4.</w:t>
      </w:r>
    </w:p>
    <w:p w14:paraId="170449AA" w14:textId="581D7E04" w:rsidR="004A65D2" w:rsidRDefault="004A65D2" w:rsidP="004A65D2">
      <w:pPr>
        <w:spacing w:before="120" w:after="120"/>
      </w:pPr>
      <w:r>
        <w:t xml:space="preserve">TS 38.331, clause 5.3, defines the connection control for time-based CHO in general terms, i.e., without specific reference to NTN. This specification could therefore be applied to mobile IAB without changes. </w:t>
      </w:r>
    </w:p>
    <w:p w14:paraId="5711C74E" w14:textId="1461CF92" w:rsidR="004A65D2" w:rsidRDefault="004A65D2" w:rsidP="00965966">
      <w:pPr>
        <w:spacing w:before="120" w:after="120"/>
      </w:pPr>
      <w:r>
        <w:t xml:space="preserve">TS 38.331, clause 6.3.2, further defines the condEventT1-r17 IE in the </w:t>
      </w:r>
      <w:proofErr w:type="spellStart"/>
      <w:r>
        <w:t>ReportConfigNR</w:t>
      </w:r>
      <w:proofErr w:type="spellEnd"/>
      <w:r>
        <w:t xml:space="preserve"> IE in generic terms without specific reference to NTN. This specification could therefore be applied to mobile IAB without changes.</w:t>
      </w:r>
    </w:p>
    <w:p w14:paraId="0797BBA8" w14:textId="5A0B8519" w:rsidR="004A65D2" w:rsidRDefault="004A65D2" w:rsidP="00965966">
      <w:pPr>
        <w:spacing w:before="120" w:after="120"/>
      </w:pPr>
      <w:r>
        <w:t xml:space="preserve">TS 38.331, clause 6.3.1, defines the t_Service-r17 time information in SIB19, which is needed for the evaluation for the condEventT1-r17 trigger condition. SIB19 explicitly refers to “satellite assistance information”. In case time-based CHO is </w:t>
      </w:r>
      <w:r w:rsidR="0057139D">
        <w:t>used</w:t>
      </w:r>
      <w:r>
        <w:t xml:space="preserve"> to mobile IAB, </w:t>
      </w:r>
      <w:r w:rsidR="0057139D">
        <w:t xml:space="preserve">the t_Service-r17 time information </w:t>
      </w:r>
      <w:r w:rsidR="00827C55">
        <w:t xml:space="preserve">IE </w:t>
      </w:r>
      <w:r w:rsidR="0057139D">
        <w:t xml:space="preserve">is either </w:t>
      </w:r>
      <w:r w:rsidR="00827C55">
        <w:t>replicated</w:t>
      </w:r>
      <w:r w:rsidR="0057139D">
        <w:t xml:space="preserve"> in another SIB, or SIB19 </w:t>
      </w:r>
      <w:r w:rsidR="00827C55">
        <w:t>is enhanced to also support other use cases apart from NTN.</w:t>
      </w:r>
      <w:r w:rsidR="0057139D">
        <w:t xml:space="preserve"> </w:t>
      </w:r>
    </w:p>
    <w:p w14:paraId="0B5F9D0D" w14:textId="07A9CF06" w:rsidR="00827C55" w:rsidRDefault="00827C55" w:rsidP="00827C55">
      <w:pPr>
        <w:spacing w:before="120" w:after="120"/>
        <w:rPr>
          <w:b/>
          <w:bCs/>
        </w:rPr>
      </w:pPr>
      <w:r w:rsidRPr="0057139D">
        <w:rPr>
          <w:b/>
          <w:bCs/>
        </w:rPr>
        <w:t xml:space="preserve">Observation </w:t>
      </w:r>
      <w:r w:rsidR="000C509E">
        <w:rPr>
          <w:b/>
          <w:bCs/>
        </w:rPr>
        <w:t>4b</w:t>
      </w:r>
      <w:r w:rsidRPr="0057139D">
        <w:rPr>
          <w:b/>
          <w:bCs/>
        </w:rPr>
        <w:t xml:space="preserve">: </w:t>
      </w:r>
      <w:r>
        <w:rPr>
          <w:b/>
          <w:bCs/>
        </w:rPr>
        <w:t xml:space="preserve">In case time-based triggering is adopted for CHO during DU migration, </w:t>
      </w:r>
      <w:r w:rsidRPr="00827C55">
        <w:rPr>
          <w:b/>
          <w:bCs/>
        </w:rPr>
        <w:t>the t_Service-r17 time information IE</w:t>
      </w:r>
      <w:r>
        <w:rPr>
          <w:b/>
          <w:bCs/>
        </w:rPr>
        <w:t xml:space="preserve"> in SIB19</w:t>
      </w:r>
      <w:r w:rsidRPr="00827C55">
        <w:rPr>
          <w:b/>
          <w:bCs/>
        </w:rPr>
        <w:t xml:space="preserve"> is either replicated in another SIB, or SIB19 is enhanced to also support other use cases apart from NTN.</w:t>
      </w:r>
    </w:p>
    <w:p w14:paraId="4642792D" w14:textId="64B0B69F" w:rsidR="00827C55" w:rsidRDefault="00827C55" w:rsidP="00827C55">
      <w:pPr>
        <w:spacing w:before="120" w:after="120"/>
      </w:pPr>
      <w:r w:rsidRPr="00827C55">
        <w:lastRenderedPageBreak/>
        <w:t>It is preferred to extend the purpose of SIB19 rather than replicating the t_Service-r17 time information IE.</w:t>
      </w:r>
    </w:p>
    <w:p w14:paraId="6A5AE393" w14:textId="1C54B22C" w:rsidR="00827C55" w:rsidRPr="00827C55" w:rsidRDefault="00827C55" w:rsidP="00827C55">
      <w:pPr>
        <w:spacing w:before="120" w:after="120"/>
      </w:pPr>
      <w:r>
        <w:t>No other changes are needed. Since these changes to the spec are minor, time-based triggering should be supported for UE CHO during DU migration.</w:t>
      </w:r>
    </w:p>
    <w:p w14:paraId="7BDEB3C3" w14:textId="1877D127" w:rsidR="00827C55" w:rsidRDefault="00827C55" w:rsidP="00827C55">
      <w:pPr>
        <w:spacing w:before="120" w:after="120"/>
        <w:rPr>
          <w:b/>
          <w:bCs/>
        </w:rPr>
      </w:pPr>
      <w:r>
        <w:rPr>
          <w:b/>
          <w:bCs/>
        </w:rPr>
        <w:t>Proposal 4</w:t>
      </w:r>
      <w:r w:rsidR="000C509E">
        <w:rPr>
          <w:b/>
          <w:bCs/>
        </w:rPr>
        <w:t>a</w:t>
      </w:r>
      <w:r>
        <w:rPr>
          <w:b/>
          <w:bCs/>
        </w:rPr>
        <w:t>: Time-based triggering to be supported for CHO during DU migration.</w:t>
      </w:r>
    </w:p>
    <w:p w14:paraId="4AEBDC56" w14:textId="3CC2470C" w:rsidR="00827C55" w:rsidRDefault="00827C55" w:rsidP="00827C55">
      <w:pPr>
        <w:spacing w:before="120" w:after="120"/>
        <w:rPr>
          <w:b/>
          <w:bCs/>
        </w:rPr>
      </w:pPr>
      <w:r>
        <w:rPr>
          <w:b/>
          <w:bCs/>
        </w:rPr>
        <w:t xml:space="preserve">Proposal </w:t>
      </w:r>
      <w:r w:rsidR="000C509E">
        <w:rPr>
          <w:b/>
          <w:bCs/>
        </w:rPr>
        <w:t>4b</w:t>
      </w:r>
      <w:r>
        <w:rPr>
          <w:b/>
          <w:bCs/>
        </w:rPr>
        <w:t>: ST2 to capture time-based triggering in the generic CHO section</w:t>
      </w:r>
      <w:r w:rsidRPr="00827C55">
        <w:rPr>
          <w:b/>
          <w:bCs/>
        </w:rPr>
        <w:t xml:space="preserve"> </w:t>
      </w:r>
      <w:r>
        <w:rPr>
          <w:b/>
          <w:bCs/>
        </w:rPr>
        <w:t>(</w:t>
      </w:r>
      <w:r w:rsidRPr="0057139D">
        <w:rPr>
          <w:b/>
          <w:bCs/>
        </w:rPr>
        <w:t>TS 38.300, clause 9.2.3.4</w:t>
      </w:r>
      <w:r>
        <w:rPr>
          <w:b/>
          <w:bCs/>
        </w:rPr>
        <w:t>).</w:t>
      </w:r>
    </w:p>
    <w:p w14:paraId="5A693C9D" w14:textId="71F38DEB" w:rsidR="00827C55" w:rsidRDefault="00827C55" w:rsidP="00827C55">
      <w:pPr>
        <w:spacing w:before="120" w:after="120"/>
        <w:rPr>
          <w:b/>
          <w:bCs/>
        </w:rPr>
      </w:pPr>
      <w:r>
        <w:rPr>
          <w:b/>
          <w:bCs/>
        </w:rPr>
        <w:t>P</w:t>
      </w:r>
      <w:r w:rsidRPr="00827C55">
        <w:rPr>
          <w:b/>
          <w:bCs/>
        </w:rPr>
        <w:t xml:space="preserve">roposal </w:t>
      </w:r>
      <w:r w:rsidR="000C509E">
        <w:rPr>
          <w:b/>
          <w:bCs/>
        </w:rPr>
        <w:t>4c</w:t>
      </w:r>
      <w:r w:rsidRPr="00827C55">
        <w:rPr>
          <w:b/>
          <w:bCs/>
        </w:rPr>
        <w:t>: SIB19 to capture that t_Service-r17 time information IE can also be used for other purposes than TN.</w:t>
      </w:r>
    </w:p>
    <w:p w14:paraId="0DACE187" w14:textId="77777777" w:rsidR="000C7C30" w:rsidRPr="00AF3742" w:rsidRDefault="000C7C30" w:rsidP="00965966">
      <w:pPr>
        <w:spacing w:before="120" w:after="120"/>
      </w:pPr>
    </w:p>
    <w:p w14:paraId="23DA704C" w14:textId="4D63F106" w:rsidR="0096408F" w:rsidRDefault="0096408F" w:rsidP="0096408F">
      <w:pPr>
        <w:pStyle w:val="Heading1"/>
      </w:pPr>
      <w:r>
        <w:t>Conclusion</w:t>
      </w:r>
    </w:p>
    <w:p w14:paraId="4AEA594E" w14:textId="7DD7ED84" w:rsidR="00CD3BFC" w:rsidRDefault="000C7C30" w:rsidP="00750C1F">
      <w:pPr>
        <w:spacing w:before="120" w:after="240"/>
        <w:rPr>
          <w:lang w:val="en-US"/>
        </w:rPr>
      </w:pPr>
      <w:r>
        <w:rPr>
          <w:lang w:val="en-US"/>
        </w:rPr>
        <w:t>T</w:t>
      </w:r>
      <w:r w:rsidRPr="0051442A">
        <w:rPr>
          <w:lang w:val="en-US"/>
        </w:rPr>
        <w:t>his paper discusse</w:t>
      </w:r>
      <w:r>
        <w:rPr>
          <w:lang w:val="en-US"/>
        </w:rPr>
        <w:t>d</w:t>
      </w:r>
      <w:r w:rsidRPr="0051442A">
        <w:rPr>
          <w:lang w:val="en-US"/>
        </w:rPr>
        <w:t xml:space="preserve"> </w:t>
      </w:r>
      <w:r>
        <w:rPr>
          <w:lang w:val="en-US"/>
        </w:rPr>
        <w:t>remaining issues for connected-mode mobility during DU migration</w:t>
      </w:r>
      <w:r w:rsidR="00CD3BFC">
        <w:rPr>
          <w:lang w:val="en-US"/>
        </w:rPr>
        <w:t>. The following observations and proposals have been made:</w:t>
      </w:r>
    </w:p>
    <w:p w14:paraId="31444AA0" w14:textId="77777777" w:rsidR="000C509E" w:rsidRPr="000C509E" w:rsidRDefault="000C509E" w:rsidP="00750C1F">
      <w:pPr>
        <w:spacing w:before="120" w:after="240"/>
        <w:rPr>
          <w:u w:val="single"/>
        </w:rPr>
      </w:pPr>
      <w:r w:rsidRPr="000C509E">
        <w:rPr>
          <w:highlight w:val="yellow"/>
          <w:u w:val="single"/>
        </w:rPr>
        <w:t>Issue 1:</w:t>
      </w:r>
      <w:r w:rsidRPr="000C509E">
        <w:rPr>
          <w:u w:val="single"/>
        </w:rPr>
        <w:t xml:space="preserve"> Explicit vs. implicit beam information of target cell</w:t>
      </w:r>
    </w:p>
    <w:p w14:paraId="264151E0" w14:textId="5ADCEF3B" w:rsidR="000C509E" w:rsidRDefault="000C509E" w:rsidP="00750C1F">
      <w:pPr>
        <w:spacing w:before="120" w:after="240"/>
        <w:rPr>
          <w:b/>
          <w:bCs/>
        </w:rPr>
      </w:pPr>
      <w:r w:rsidRPr="005D4D93">
        <w:rPr>
          <w:b/>
          <w:bCs/>
        </w:rPr>
        <w:t>Observation 1</w:t>
      </w:r>
      <w:r>
        <w:rPr>
          <w:b/>
          <w:bCs/>
        </w:rPr>
        <w:t>a</w:t>
      </w:r>
      <w:r w:rsidRPr="005D4D93">
        <w:rPr>
          <w:b/>
          <w:bCs/>
        </w:rPr>
        <w:t>: The handover command needs to include an indication that the handover can be conducted RACH-less.</w:t>
      </w:r>
    </w:p>
    <w:p w14:paraId="30DD9D19" w14:textId="77777777" w:rsidR="00750C1F" w:rsidRDefault="00750C1F" w:rsidP="00750C1F">
      <w:pPr>
        <w:spacing w:before="120" w:after="240"/>
        <w:rPr>
          <w:b/>
          <w:bCs/>
        </w:rPr>
      </w:pPr>
      <w:r w:rsidRPr="005D4D93">
        <w:rPr>
          <w:b/>
          <w:bCs/>
        </w:rPr>
        <w:t xml:space="preserve">Observation </w:t>
      </w:r>
      <w:r>
        <w:rPr>
          <w:b/>
          <w:bCs/>
        </w:rPr>
        <w:t>1b</w:t>
      </w:r>
      <w:r w:rsidRPr="005D4D93">
        <w:rPr>
          <w:b/>
          <w:bCs/>
        </w:rPr>
        <w:t xml:space="preserve">: </w:t>
      </w:r>
      <w:r>
        <w:rPr>
          <w:b/>
          <w:bCs/>
        </w:rPr>
        <w:t>Since the handover command includes a new beam-to-resource mapping, an explicit beam indication is needed for the first transmission between UE and target cell.</w:t>
      </w:r>
    </w:p>
    <w:p w14:paraId="32EED106" w14:textId="68D2901C" w:rsidR="000C509E" w:rsidRPr="005D4D93" w:rsidRDefault="000C509E" w:rsidP="00750C1F">
      <w:pPr>
        <w:spacing w:before="120" w:after="240"/>
        <w:rPr>
          <w:b/>
          <w:bCs/>
        </w:rPr>
      </w:pPr>
      <w:r>
        <w:rPr>
          <w:b/>
          <w:bCs/>
        </w:rPr>
        <w:t xml:space="preserve">Proposal 1a: The handover command to include on indication that the handover can be conducted RACH-less. </w:t>
      </w:r>
    </w:p>
    <w:p w14:paraId="7A795935" w14:textId="1D54325F" w:rsidR="000C509E" w:rsidRDefault="000C509E" w:rsidP="00750C1F">
      <w:pPr>
        <w:spacing w:before="120" w:after="240"/>
        <w:rPr>
          <w:b/>
          <w:bCs/>
        </w:rPr>
      </w:pPr>
      <w:r>
        <w:rPr>
          <w:b/>
          <w:bCs/>
        </w:rPr>
        <w:t xml:space="preserve">Proposal 1b: The handover command to include an indication on the beam to be used for the first transmission on the target cell. </w:t>
      </w:r>
    </w:p>
    <w:p w14:paraId="421D1B7C" w14:textId="77777777" w:rsidR="000C509E" w:rsidRPr="005D4D93" w:rsidRDefault="000C509E" w:rsidP="00750C1F">
      <w:pPr>
        <w:spacing w:before="120" w:after="240"/>
        <w:rPr>
          <w:b/>
          <w:bCs/>
        </w:rPr>
      </w:pPr>
    </w:p>
    <w:p w14:paraId="143E0526" w14:textId="78C46F96" w:rsidR="000C509E" w:rsidRPr="000C509E" w:rsidRDefault="000C509E" w:rsidP="00750C1F">
      <w:pPr>
        <w:spacing w:before="120" w:after="240"/>
        <w:rPr>
          <w:u w:val="single"/>
        </w:rPr>
      </w:pPr>
      <w:r w:rsidRPr="000C509E">
        <w:rPr>
          <w:highlight w:val="yellow"/>
          <w:u w:val="single"/>
        </w:rPr>
        <w:t>Issue 2:</w:t>
      </w:r>
      <w:r w:rsidRPr="000C509E">
        <w:rPr>
          <w:u w:val="single"/>
        </w:rPr>
        <w:t xml:space="preserve"> Delivery of uplink grant</w:t>
      </w:r>
    </w:p>
    <w:p w14:paraId="16F32524" w14:textId="77777777" w:rsidR="000C509E" w:rsidRDefault="000C509E" w:rsidP="00750C1F">
      <w:pPr>
        <w:spacing w:before="120" w:after="240"/>
        <w:rPr>
          <w:b/>
          <w:bCs/>
        </w:rPr>
      </w:pPr>
      <w:r>
        <w:rPr>
          <w:b/>
          <w:bCs/>
        </w:rPr>
        <w:t>Observation 2: The UE can always receive a scheduled UL grant in case it is not able to make use of a configured UL grant.</w:t>
      </w:r>
    </w:p>
    <w:p w14:paraId="08E481EA" w14:textId="77777777" w:rsidR="000C509E" w:rsidRDefault="000C509E" w:rsidP="00750C1F">
      <w:pPr>
        <w:spacing w:before="120" w:after="240"/>
        <w:rPr>
          <w:b/>
          <w:bCs/>
        </w:rPr>
      </w:pPr>
      <w:r>
        <w:rPr>
          <w:b/>
          <w:bCs/>
        </w:rPr>
        <w:t>Proposal 2: For RACH-less handover, configured UL grant is optionally supported. Scheduled UL grant is supported.</w:t>
      </w:r>
    </w:p>
    <w:p w14:paraId="1C60312E" w14:textId="4158AB73" w:rsidR="000C509E" w:rsidRDefault="000C509E" w:rsidP="00750C1F">
      <w:pPr>
        <w:spacing w:before="120" w:after="240"/>
      </w:pPr>
    </w:p>
    <w:p w14:paraId="532EE1A8" w14:textId="77777777" w:rsidR="000C509E" w:rsidRPr="000C509E" w:rsidRDefault="000C509E" w:rsidP="00750C1F">
      <w:pPr>
        <w:spacing w:before="120" w:after="240"/>
        <w:rPr>
          <w:u w:val="single"/>
        </w:rPr>
      </w:pPr>
      <w:r w:rsidRPr="000C509E">
        <w:rPr>
          <w:highlight w:val="yellow"/>
          <w:u w:val="single"/>
        </w:rPr>
        <w:t>Issue 3:</w:t>
      </w:r>
      <w:r w:rsidRPr="000C509E">
        <w:rPr>
          <w:u w:val="single"/>
        </w:rPr>
        <w:t xml:space="preserve"> Reliable transmission of RRC completion and other issues</w:t>
      </w:r>
    </w:p>
    <w:p w14:paraId="0A738DF3" w14:textId="77777777" w:rsidR="000C509E" w:rsidRDefault="000C509E" w:rsidP="00750C1F">
      <w:pPr>
        <w:spacing w:before="120" w:after="240"/>
        <w:rPr>
          <w:b/>
          <w:bCs/>
        </w:rPr>
      </w:pPr>
      <w:r>
        <w:rPr>
          <w:b/>
          <w:bCs/>
        </w:rPr>
        <w:t xml:space="preserve">Observation 3: For all issues related to RACH-less HO that do not require inter-CU coordination, one common solution should be defined for LTM and mobile IAB. </w:t>
      </w:r>
    </w:p>
    <w:p w14:paraId="0E195AE1" w14:textId="77777777" w:rsidR="000C509E" w:rsidRDefault="000C509E" w:rsidP="00750C1F">
      <w:pPr>
        <w:spacing w:before="120" w:after="240"/>
        <w:rPr>
          <w:b/>
          <w:bCs/>
        </w:rPr>
      </w:pPr>
      <w:r>
        <w:rPr>
          <w:b/>
          <w:bCs/>
        </w:rPr>
        <w:t>Proposal 3: For all issues related to RACH-less HO that do not require inter-CU coordination, mobile IAB to adapt the solutions defined by LTM WI.</w:t>
      </w:r>
    </w:p>
    <w:p w14:paraId="4756F7C8" w14:textId="77777777" w:rsidR="00750C1F" w:rsidRDefault="00750C1F" w:rsidP="00750C1F">
      <w:pPr>
        <w:spacing w:before="120" w:after="240"/>
        <w:rPr>
          <w:b/>
          <w:bCs/>
          <w:highlight w:val="yellow"/>
        </w:rPr>
      </w:pPr>
    </w:p>
    <w:p w14:paraId="393CFCDD" w14:textId="2F861EC3" w:rsidR="00750C1F" w:rsidRPr="00750C1F" w:rsidRDefault="00750C1F" w:rsidP="00750C1F">
      <w:pPr>
        <w:spacing w:before="120" w:after="240"/>
        <w:rPr>
          <w:u w:val="single"/>
        </w:rPr>
      </w:pPr>
      <w:r w:rsidRPr="00750C1F">
        <w:rPr>
          <w:highlight w:val="yellow"/>
          <w:u w:val="single"/>
        </w:rPr>
        <w:t>Issue 4:</w:t>
      </w:r>
      <w:r w:rsidRPr="00750C1F">
        <w:rPr>
          <w:u w:val="single"/>
        </w:rPr>
        <w:t xml:space="preserve"> Use of CondEventT1 for UE CHO during DU migration</w:t>
      </w:r>
    </w:p>
    <w:p w14:paraId="61D99B06" w14:textId="77777777" w:rsidR="00750C1F" w:rsidRPr="0057139D" w:rsidRDefault="00750C1F" w:rsidP="00750C1F">
      <w:pPr>
        <w:spacing w:before="120" w:after="240"/>
        <w:rPr>
          <w:b/>
          <w:bCs/>
        </w:rPr>
      </w:pPr>
      <w:r w:rsidRPr="0057139D">
        <w:rPr>
          <w:b/>
          <w:bCs/>
        </w:rPr>
        <w:t xml:space="preserve">Observation </w:t>
      </w:r>
      <w:r>
        <w:rPr>
          <w:b/>
          <w:bCs/>
        </w:rPr>
        <w:t>4a</w:t>
      </w:r>
      <w:r w:rsidRPr="0057139D">
        <w:rPr>
          <w:b/>
          <w:bCs/>
        </w:rPr>
        <w:t xml:space="preserve">: </w:t>
      </w:r>
      <w:r>
        <w:rPr>
          <w:b/>
          <w:bCs/>
        </w:rPr>
        <w:t xml:space="preserve">In case time-based triggering is adopted for CHO during DU migration, </w:t>
      </w:r>
      <w:r w:rsidRPr="0057139D">
        <w:rPr>
          <w:b/>
          <w:bCs/>
        </w:rPr>
        <w:t>time-based triggering</w:t>
      </w:r>
      <w:r>
        <w:rPr>
          <w:b/>
          <w:bCs/>
        </w:rPr>
        <w:t xml:space="preserve"> needs to be included</w:t>
      </w:r>
      <w:r w:rsidRPr="0057139D">
        <w:rPr>
          <w:b/>
          <w:bCs/>
        </w:rPr>
        <w:t xml:space="preserve"> for </w:t>
      </w:r>
      <w:r>
        <w:rPr>
          <w:b/>
          <w:bCs/>
        </w:rPr>
        <w:t xml:space="preserve">generic </w:t>
      </w:r>
      <w:r w:rsidRPr="0057139D">
        <w:rPr>
          <w:b/>
          <w:bCs/>
        </w:rPr>
        <w:t>CHO in TS 38.300, clause 9.2.3.4.</w:t>
      </w:r>
    </w:p>
    <w:p w14:paraId="4DED7CBE" w14:textId="77777777" w:rsidR="00750C1F" w:rsidRDefault="00750C1F" w:rsidP="00750C1F">
      <w:pPr>
        <w:spacing w:before="120" w:after="240"/>
        <w:rPr>
          <w:b/>
          <w:bCs/>
        </w:rPr>
      </w:pPr>
      <w:r w:rsidRPr="0057139D">
        <w:rPr>
          <w:b/>
          <w:bCs/>
        </w:rPr>
        <w:t xml:space="preserve">Observation </w:t>
      </w:r>
      <w:r>
        <w:rPr>
          <w:b/>
          <w:bCs/>
        </w:rPr>
        <w:t>4b</w:t>
      </w:r>
      <w:r w:rsidRPr="0057139D">
        <w:rPr>
          <w:b/>
          <w:bCs/>
        </w:rPr>
        <w:t xml:space="preserve">: </w:t>
      </w:r>
      <w:r>
        <w:rPr>
          <w:b/>
          <w:bCs/>
        </w:rPr>
        <w:t xml:space="preserve">In case time-based triggering is adopted for CHO during DU migration, </w:t>
      </w:r>
      <w:r w:rsidRPr="00827C55">
        <w:rPr>
          <w:b/>
          <w:bCs/>
        </w:rPr>
        <w:t>the t_Service-r17 time information IE</w:t>
      </w:r>
      <w:r>
        <w:rPr>
          <w:b/>
          <w:bCs/>
        </w:rPr>
        <w:t xml:space="preserve"> in SIB19</w:t>
      </w:r>
      <w:r w:rsidRPr="00827C55">
        <w:rPr>
          <w:b/>
          <w:bCs/>
        </w:rPr>
        <w:t xml:space="preserve"> is either replicated in another SIB, or SIB19 is enhanced to also support other use cases apart from NTN.</w:t>
      </w:r>
    </w:p>
    <w:p w14:paraId="1B5CA5B7" w14:textId="77777777" w:rsidR="00750C1F" w:rsidRDefault="00750C1F" w:rsidP="00750C1F">
      <w:pPr>
        <w:spacing w:before="120" w:after="240"/>
        <w:rPr>
          <w:b/>
          <w:bCs/>
        </w:rPr>
      </w:pPr>
      <w:r>
        <w:rPr>
          <w:b/>
          <w:bCs/>
        </w:rPr>
        <w:lastRenderedPageBreak/>
        <w:t>Proposal 4a: Time-based triggering to be supported for CHO during DU migration.</w:t>
      </w:r>
    </w:p>
    <w:p w14:paraId="4C4E226A" w14:textId="77777777" w:rsidR="00750C1F" w:rsidRDefault="00750C1F" w:rsidP="00750C1F">
      <w:pPr>
        <w:spacing w:before="120" w:after="240"/>
        <w:rPr>
          <w:b/>
          <w:bCs/>
        </w:rPr>
      </w:pPr>
      <w:r>
        <w:rPr>
          <w:b/>
          <w:bCs/>
        </w:rPr>
        <w:t>Proposal 4b: ST2 to capture time-based triggering in the generic CHO section</w:t>
      </w:r>
      <w:r w:rsidRPr="00827C55">
        <w:rPr>
          <w:b/>
          <w:bCs/>
        </w:rPr>
        <w:t xml:space="preserve"> </w:t>
      </w:r>
      <w:r>
        <w:rPr>
          <w:b/>
          <w:bCs/>
        </w:rPr>
        <w:t>(</w:t>
      </w:r>
      <w:r w:rsidRPr="0057139D">
        <w:rPr>
          <w:b/>
          <w:bCs/>
        </w:rPr>
        <w:t>TS 38.300, clause 9.2.3.4</w:t>
      </w:r>
      <w:r>
        <w:rPr>
          <w:b/>
          <w:bCs/>
        </w:rPr>
        <w:t>).</w:t>
      </w:r>
    </w:p>
    <w:p w14:paraId="6C8B1A8A" w14:textId="77777777" w:rsidR="00750C1F" w:rsidRDefault="00750C1F" w:rsidP="00750C1F">
      <w:pPr>
        <w:spacing w:before="120" w:after="240"/>
        <w:rPr>
          <w:b/>
          <w:bCs/>
        </w:rPr>
      </w:pPr>
      <w:r>
        <w:rPr>
          <w:b/>
          <w:bCs/>
        </w:rPr>
        <w:t>P</w:t>
      </w:r>
      <w:r w:rsidRPr="00827C55">
        <w:rPr>
          <w:b/>
          <w:bCs/>
        </w:rPr>
        <w:t xml:space="preserve">roposal </w:t>
      </w:r>
      <w:r>
        <w:rPr>
          <w:b/>
          <w:bCs/>
        </w:rPr>
        <w:t>4c</w:t>
      </w:r>
      <w:r w:rsidRPr="00827C55">
        <w:rPr>
          <w:b/>
          <w:bCs/>
        </w:rPr>
        <w:t>: SIB19 to capture that t_Service-r17 time information IE can also be used for other purposes than TN.</w:t>
      </w:r>
    </w:p>
    <w:p w14:paraId="271E5F4C" w14:textId="77777777" w:rsidR="00CD3BFC" w:rsidRDefault="00CD3BFC" w:rsidP="00AF3742">
      <w:pPr>
        <w:spacing w:before="240" w:after="240"/>
        <w:rPr>
          <w:b/>
          <w:bCs/>
        </w:rPr>
      </w:pPr>
    </w:p>
    <w:p w14:paraId="7F9A5B2E" w14:textId="77777777" w:rsidR="00CD4C7B" w:rsidRPr="00320A6B" w:rsidRDefault="00CD4C7B" w:rsidP="00CD4C7B">
      <w:pPr>
        <w:pStyle w:val="Heading1"/>
      </w:pPr>
      <w:r w:rsidRPr="00320A6B">
        <w:t>References</w:t>
      </w:r>
    </w:p>
    <w:p w14:paraId="18A46778" w14:textId="2E3BA032"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proofErr w:type="gramStart"/>
      <w:r w:rsidR="006A48C8">
        <w:rPr>
          <w:lang w:eastAsia="zh-CN"/>
        </w:rPr>
        <w:t>N</w:t>
      </w:r>
      <w:r>
        <w:rPr>
          <w:lang w:eastAsia="zh-CN"/>
        </w:rPr>
        <w:t>otes</w:t>
      </w:r>
      <w:r w:rsidR="00167A87" w:rsidRPr="00F04C08">
        <w:rPr>
          <w:lang w:val="en-US" w:eastAsia="zh-CN"/>
        </w:rPr>
        <w:t>;</w:t>
      </w:r>
      <w:proofErr w:type="gramEnd"/>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w:t>
      </w:r>
      <w:r w:rsidR="00D5621D">
        <w:rPr>
          <w:lang w:val="en-US" w:eastAsia="zh-CN"/>
        </w:rPr>
        <w:t>21</w:t>
      </w:r>
      <w:r w:rsidR="00CD3BFC">
        <w:rPr>
          <w:lang w:val="en-US" w:eastAsia="zh-CN"/>
        </w:rPr>
        <w:t>bis-e</w:t>
      </w:r>
      <w:r w:rsidR="00167A87" w:rsidRPr="00F04C08">
        <w:rPr>
          <w:lang w:val="en-US" w:eastAsia="zh-CN"/>
        </w:rPr>
        <w:t xml:space="preserve">, </w:t>
      </w:r>
      <w:r w:rsidR="00CD3BFC">
        <w:rPr>
          <w:lang w:val="en-US" w:eastAsia="zh-CN"/>
        </w:rPr>
        <w:t>E-meeting</w:t>
      </w:r>
      <w:r w:rsidR="00760022">
        <w:rPr>
          <w:lang w:val="en-US" w:eastAsia="zh-CN"/>
        </w:rPr>
        <w:t xml:space="preserve">, </w:t>
      </w:r>
      <w:r w:rsidR="00CD3BFC">
        <w:rPr>
          <w:lang w:val="en-US" w:eastAsia="zh-CN"/>
        </w:rPr>
        <w:t>April</w:t>
      </w:r>
      <w:r w:rsidR="00167A87" w:rsidRPr="00F04C08">
        <w:rPr>
          <w:lang w:val="en-US" w:eastAsia="zh-CN"/>
        </w:rPr>
        <w:t>, 20</w:t>
      </w:r>
      <w:r w:rsidR="0036720B" w:rsidRPr="00F04C08">
        <w:rPr>
          <w:lang w:val="en-US" w:eastAsia="zh-CN"/>
        </w:rPr>
        <w:t>2</w:t>
      </w:r>
      <w:r w:rsidR="00D5621D">
        <w:rPr>
          <w:lang w:val="en-US" w:eastAsia="zh-CN"/>
        </w:rPr>
        <w:t>3</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5E11" w14:textId="77777777" w:rsidR="00CF2073" w:rsidRDefault="00CF2073">
      <w:r>
        <w:separator/>
      </w:r>
    </w:p>
  </w:endnote>
  <w:endnote w:type="continuationSeparator" w:id="0">
    <w:p w14:paraId="177792C4" w14:textId="77777777" w:rsidR="00CF2073" w:rsidRDefault="00CF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7B1A2" w14:textId="77777777" w:rsidR="00CF2073" w:rsidRDefault="00CF2073">
      <w:r>
        <w:separator/>
      </w:r>
    </w:p>
  </w:footnote>
  <w:footnote w:type="continuationSeparator" w:id="0">
    <w:p w14:paraId="2400F72F" w14:textId="77777777" w:rsidR="00CF2073" w:rsidRDefault="00CF2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640"/>
        </w:tabs>
        <w:ind w:left="-9640" w:hanging="360"/>
      </w:pPr>
      <w:rPr>
        <w:rFonts w:ascii="Symbol" w:hAnsi="Symbol" w:hint="default"/>
        <w:b/>
        <w:i w:val="0"/>
        <w:color w:val="auto"/>
        <w:sz w:val="22"/>
      </w:rPr>
    </w:lvl>
    <w:lvl w:ilvl="1" w:tplc="04090003">
      <w:start w:val="1"/>
      <w:numFmt w:val="bullet"/>
      <w:lvlText w:val="o"/>
      <w:lvlJc w:val="left"/>
      <w:pPr>
        <w:tabs>
          <w:tab w:val="num" w:pos="-8830"/>
        </w:tabs>
        <w:ind w:left="-8830" w:hanging="360"/>
      </w:pPr>
      <w:rPr>
        <w:rFonts w:ascii="Courier New" w:hAnsi="Courier New" w:cs="Courier New" w:hint="default"/>
      </w:rPr>
    </w:lvl>
    <w:lvl w:ilvl="2" w:tplc="04090005" w:tentative="1">
      <w:start w:val="1"/>
      <w:numFmt w:val="bullet"/>
      <w:lvlText w:val=""/>
      <w:lvlJc w:val="left"/>
      <w:pPr>
        <w:tabs>
          <w:tab w:val="num" w:pos="-8110"/>
        </w:tabs>
        <w:ind w:left="-8110" w:hanging="360"/>
      </w:pPr>
      <w:rPr>
        <w:rFonts w:ascii="Wingdings" w:hAnsi="Wingdings" w:hint="default"/>
      </w:rPr>
    </w:lvl>
    <w:lvl w:ilvl="3" w:tplc="04090001" w:tentative="1">
      <w:start w:val="1"/>
      <w:numFmt w:val="bullet"/>
      <w:lvlText w:val=""/>
      <w:lvlJc w:val="left"/>
      <w:pPr>
        <w:tabs>
          <w:tab w:val="num" w:pos="-7390"/>
        </w:tabs>
        <w:ind w:left="-7390" w:hanging="360"/>
      </w:pPr>
      <w:rPr>
        <w:rFonts w:ascii="Symbol" w:hAnsi="Symbol" w:hint="default"/>
      </w:rPr>
    </w:lvl>
    <w:lvl w:ilvl="4" w:tplc="04090003" w:tentative="1">
      <w:start w:val="1"/>
      <w:numFmt w:val="bullet"/>
      <w:lvlText w:val="o"/>
      <w:lvlJc w:val="left"/>
      <w:pPr>
        <w:tabs>
          <w:tab w:val="num" w:pos="-6670"/>
        </w:tabs>
        <w:ind w:left="-667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4510"/>
        </w:tabs>
        <w:ind w:left="-4510" w:hanging="360"/>
      </w:pPr>
      <w:rPr>
        <w:rFonts w:ascii="Courier New" w:hAnsi="Courier New" w:cs="Courier New" w:hint="default"/>
      </w:rPr>
    </w:lvl>
    <w:lvl w:ilvl="8" w:tplc="04090005" w:tentative="1">
      <w:start w:val="1"/>
      <w:numFmt w:val="bullet"/>
      <w:lvlText w:val=""/>
      <w:lvlJc w:val="left"/>
      <w:pPr>
        <w:tabs>
          <w:tab w:val="num" w:pos="-3790"/>
        </w:tabs>
        <w:ind w:left="-3790" w:hanging="360"/>
      </w:pPr>
      <w:rPr>
        <w:rFonts w:ascii="Wingdings" w:hAnsi="Wingdings" w:hint="default"/>
      </w:rPr>
    </w:lvl>
  </w:abstractNum>
  <w:abstractNum w:abstractNumId="6"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
  </w:num>
  <w:num w:numId="2" w16cid:durableId="337000327">
    <w:abstractNumId w:val="5"/>
  </w:num>
  <w:num w:numId="3" w16cid:durableId="297147906">
    <w:abstractNumId w:val="2"/>
  </w:num>
  <w:num w:numId="4" w16cid:durableId="1156074361">
    <w:abstractNumId w:val="3"/>
  </w:num>
  <w:num w:numId="5" w16cid:durableId="974483218">
    <w:abstractNumId w:val="5"/>
  </w:num>
  <w:num w:numId="6" w16cid:durableId="1576936486">
    <w:abstractNumId w:val="5"/>
  </w:num>
  <w:num w:numId="7" w16cid:durableId="538444176">
    <w:abstractNumId w:val="6"/>
  </w:num>
  <w:num w:numId="8" w16cid:durableId="707223313">
    <w:abstractNumId w:val="0"/>
  </w:num>
  <w:num w:numId="9" w16cid:durableId="82812938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2439"/>
    <w:rsid w:val="0004341F"/>
    <w:rsid w:val="00044ED2"/>
    <w:rsid w:val="00045625"/>
    <w:rsid w:val="00046AE0"/>
    <w:rsid w:val="0004707F"/>
    <w:rsid w:val="0005117E"/>
    <w:rsid w:val="000516D8"/>
    <w:rsid w:val="00051F1E"/>
    <w:rsid w:val="0005270E"/>
    <w:rsid w:val="0005392E"/>
    <w:rsid w:val="00053F19"/>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C2"/>
    <w:rsid w:val="00137B44"/>
    <w:rsid w:val="00140C86"/>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9145F"/>
    <w:rsid w:val="0039162B"/>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42A"/>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67A94"/>
    <w:rsid w:val="00467AC6"/>
    <w:rsid w:val="00471CDE"/>
    <w:rsid w:val="0047331C"/>
    <w:rsid w:val="00474C33"/>
    <w:rsid w:val="0047536C"/>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C28"/>
    <w:rsid w:val="00507DCE"/>
    <w:rsid w:val="00511F56"/>
    <w:rsid w:val="0051299A"/>
    <w:rsid w:val="0051442A"/>
    <w:rsid w:val="00516518"/>
    <w:rsid w:val="005166D3"/>
    <w:rsid w:val="005169F2"/>
    <w:rsid w:val="0051770A"/>
    <w:rsid w:val="00522978"/>
    <w:rsid w:val="005234CD"/>
    <w:rsid w:val="00523FEE"/>
    <w:rsid w:val="00527DE0"/>
    <w:rsid w:val="00530FE9"/>
    <w:rsid w:val="00531145"/>
    <w:rsid w:val="00532A92"/>
    <w:rsid w:val="00534DA0"/>
    <w:rsid w:val="0053506A"/>
    <w:rsid w:val="0053556B"/>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20E6"/>
    <w:rsid w:val="00593B6E"/>
    <w:rsid w:val="0059652A"/>
    <w:rsid w:val="005A0B84"/>
    <w:rsid w:val="005A0BC5"/>
    <w:rsid w:val="005A11E5"/>
    <w:rsid w:val="005A14B6"/>
    <w:rsid w:val="005A166D"/>
    <w:rsid w:val="005A6916"/>
    <w:rsid w:val="005A73AD"/>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E1A07"/>
    <w:rsid w:val="005E359C"/>
    <w:rsid w:val="005E5D4F"/>
    <w:rsid w:val="005E6A6C"/>
    <w:rsid w:val="005F071B"/>
    <w:rsid w:val="005F21F1"/>
    <w:rsid w:val="005F2EDF"/>
    <w:rsid w:val="005F3692"/>
    <w:rsid w:val="005F4E8E"/>
    <w:rsid w:val="005F70C3"/>
    <w:rsid w:val="005F7843"/>
    <w:rsid w:val="005F7BA9"/>
    <w:rsid w:val="0060164A"/>
    <w:rsid w:val="00602641"/>
    <w:rsid w:val="00602A37"/>
    <w:rsid w:val="00603219"/>
    <w:rsid w:val="00604765"/>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6997"/>
    <w:rsid w:val="0062739F"/>
    <w:rsid w:val="00631DBD"/>
    <w:rsid w:val="00632222"/>
    <w:rsid w:val="00635F47"/>
    <w:rsid w:val="00636F36"/>
    <w:rsid w:val="00641DC4"/>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1379"/>
    <w:rsid w:val="006829F2"/>
    <w:rsid w:val="00682D58"/>
    <w:rsid w:val="006856CF"/>
    <w:rsid w:val="006901D6"/>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7D40"/>
    <w:rsid w:val="00760022"/>
    <w:rsid w:val="00761B1F"/>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17F0"/>
    <w:rsid w:val="007A2383"/>
    <w:rsid w:val="007A5735"/>
    <w:rsid w:val="007A72E5"/>
    <w:rsid w:val="007B12D7"/>
    <w:rsid w:val="007B18D8"/>
    <w:rsid w:val="007B3472"/>
    <w:rsid w:val="007B494B"/>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C55"/>
    <w:rsid w:val="008301FB"/>
    <w:rsid w:val="008324A5"/>
    <w:rsid w:val="00834604"/>
    <w:rsid w:val="00834A6D"/>
    <w:rsid w:val="0083541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42D7"/>
    <w:rsid w:val="009454B8"/>
    <w:rsid w:val="00945597"/>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65966"/>
    <w:rsid w:val="009709BE"/>
    <w:rsid w:val="00970DB3"/>
    <w:rsid w:val="00971212"/>
    <w:rsid w:val="009738F6"/>
    <w:rsid w:val="00974940"/>
    <w:rsid w:val="00974B05"/>
    <w:rsid w:val="00974BB0"/>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E84"/>
    <w:rsid w:val="00A00EC3"/>
    <w:rsid w:val="00A03918"/>
    <w:rsid w:val="00A03B42"/>
    <w:rsid w:val="00A05DE2"/>
    <w:rsid w:val="00A067FE"/>
    <w:rsid w:val="00A10F02"/>
    <w:rsid w:val="00A11888"/>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8F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6C5B"/>
    <w:rsid w:val="00AE7394"/>
    <w:rsid w:val="00AE7935"/>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4D2F"/>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1F68"/>
    <w:rsid w:val="00CC365E"/>
    <w:rsid w:val="00CD0243"/>
    <w:rsid w:val="00CD1CFE"/>
    <w:rsid w:val="00CD3BFC"/>
    <w:rsid w:val="00CD3E58"/>
    <w:rsid w:val="00CD4A61"/>
    <w:rsid w:val="00CD4C7B"/>
    <w:rsid w:val="00CD6435"/>
    <w:rsid w:val="00CE054B"/>
    <w:rsid w:val="00CE3213"/>
    <w:rsid w:val="00CE3BD1"/>
    <w:rsid w:val="00CE3E5A"/>
    <w:rsid w:val="00CE476C"/>
    <w:rsid w:val="00CF07F5"/>
    <w:rsid w:val="00CF2073"/>
    <w:rsid w:val="00CF2C9F"/>
    <w:rsid w:val="00CF5B76"/>
    <w:rsid w:val="00CF77AE"/>
    <w:rsid w:val="00D00174"/>
    <w:rsid w:val="00D015EF"/>
    <w:rsid w:val="00D0310E"/>
    <w:rsid w:val="00D03911"/>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7B51"/>
    <w:rsid w:val="00D6117F"/>
    <w:rsid w:val="00D62E82"/>
    <w:rsid w:val="00D63BB4"/>
    <w:rsid w:val="00D641AE"/>
    <w:rsid w:val="00D646DB"/>
    <w:rsid w:val="00D64B2D"/>
    <w:rsid w:val="00D66F34"/>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718"/>
    <w:rsid w:val="00D90AA4"/>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C85"/>
    <w:rsid w:val="00EA00A8"/>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D07E4"/>
    <w:rsid w:val="00ED09BF"/>
    <w:rsid w:val="00ED1D93"/>
    <w:rsid w:val="00ED20B1"/>
    <w:rsid w:val="00ED43A5"/>
    <w:rsid w:val="00EE0C7B"/>
    <w:rsid w:val="00EE1512"/>
    <w:rsid w:val="00EE217F"/>
    <w:rsid w:val="00EE4120"/>
    <w:rsid w:val="00EE44AD"/>
    <w:rsid w:val="00EE4E67"/>
    <w:rsid w:val="00EE728D"/>
    <w:rsid w:val="00EE78CE"/>
    <w:rsid w:val="00EE7D61"/>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52DBE"/>
    <w:rsid w:val="00F53AAD"/>
    <w:rsid w:val="00F53C8B"/>
    <w:rsid w:val="00F5490A"/>
    <w:rsid w:val="00F54A3D"/>
    <w:rsid w:val="00F54F7D"/>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87E"/>
    <w:rsid w:val="00FD1FA7"/>
    <w:rsid w:val="00FD2CBF"/>
    <w:rsid w:val="00FD3E22"/>
    <w:rsid w:val="00FD4EDD"/>
    <w:rsid w:val="00FD55F1"/>
    <w:rsid w:val="00FD7FDF"/>
    <w:rsid w:val="00FE0DB2"/>
    <w:rsid w:val="00FE55FB"/>
    <w:rsid w:val="00FE5909"/>
    <w:rsid w:val="00FF0142"/>
    <w:rsid w:val="00FF05DE"/>
    <w:rsid w:val="00FF0BC3"/>
    <w:rsid w:val="00FF122E"/>
    <w:rsid w:val="00FF1498"/>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2023-05-11T18:31:00Z</dcterms:created>
  <dcterms:modified xsi:type="dcterms:W3CDTF">2023-05-11T18:31:00Z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